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Pr="007C342F" w:rsidRDefault="007C342F"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Case Study: Low Back Pain and Migraines</w:t>
      </w:r>
    </w:p>
    <w:p w:rsidR="007C342F" w:rsidRPr="007C342F" w:rsidRDefault="007C342F" w:rsidP="007C342F">
      <w:pPr>
        <w:spacing w:line="480" w:lineRule="auto"/>
        <w:jc w:val="center"/>
        <w:rPr>
          <w:rFonts w:ascii="Times New Roman" w:hAnsi="Times New Roman" w:cs="Times New Roman"/>
          <w:sz w:val="24"/>
          <w:szCs w:val="24"/>
        </w:rPr>
      </w:pPr>
      <w:r w:rsidRPr="007C342F">
        <w:rPr>
          <w:rFonts w:ascii="Times New Roman" w:hAnsi="Times New Roman" w:cs="Times New Roman"/>
          <w:sz w:val="24"/>
          <w:szCs w:val="24"/>
        </w:rPr>
        <w:t>Name</w:t>
      </w:r>
    </w:p>
    <w:p w:rsidR="007C342F" w:rsidRPr="007C342F" w:rsidRDefault="007C342F" w:rsidP="007C342F">
      <w:pPr>
        <w:spacing w:line="480" w:lineRule="auto"/>
        <w:jc w:val="center"/>
        <w:rPr>
          <w:rFonts w:ascii="Times New Roman" w:hAnsi="Times New Roman" w:cs="Times New Roman"/>
          <w:sz w:val="24"/>
          <w:szCs w:val="24"/>
        </w:rPr>
      </w:pPr>
      <w:r w:rsidRPr="007C342F">
        <w:rPr>
          <w:rFonts w:ascii="Times New Roman" w:hAnsi="Times New Roman" w:cs="Times New Roman"/>
          <w:sz w:val="24"/>
          <w:szCs w:val="24"/>
        </w:rPr>
        <w:t>Institution</w:t>
      </w:r>
    </w:p>
    <w:p w:rsidR="007C342F" w:rsidRPr="007C342F" w:rsidRDefault="007C342F" w:rsidP="007C342F">
      <w:pPr>
        <w:spacing w:line="480" w:lineRule="auto"/>
        <w:jc w:val="center"/>
        <w:rPr>
          <w:rFonts w:ascii="Times New Roman" w:hAnsi="Times New Roman" w:cs="Times New Roman"/>
          <w:sz w:val="24"/>
          <w:szCs w:val="24"/>
        </w:rPr>
      </w:pPr>
      <w:r w:rsidRPr="007C342F">
        <w:rPr>
          <w:rFonts w:ascii="Times New Roman" w:hAnsi="Times New Roman" w:cs="Times New Roman"/>
          <w:sz w:val="24"/>
          <w:szCs w:val="24"/>
        </w:rPr>
        <w:t>Date</w:t>
      </w:r>
    </w:p>
    <w:p w:rsidR="007C342F" w:rsidRPr="007C342F" w:rsidRDefault="007C342F" w:rsidP="007C342F">
      <w:pPr>
        <w:spacing w:line="480" w:lineRule="auto"/>
        <w:jc w:val="center"/>
        <w:rPr>
          <w:rFonts w:ascii="Times New Roman" w:hAnsi="Times New Roman" w:cs="Times New Roman"/>
          <w:sz w:val="24"/>
          <w:szCs w:val="24"/>
        </w:rPr>
      </w:pPr>
    </w:p>
    <w:p w:rsidR="007C342F" w:rsidRPr="007C342F" w:rsidRDefault="007C342F" w:rsidP="007C342F">
      <w:pPr>
        <w:spacing w:line="480" w:lineRule="auto"/>
        <w:rPr>
          <w:rFonts w:ascii="Times New Roman" w:hAnsi="Times New Roman" w:cs="Times New Roman"/>
          <w:sz w:val="24"/>
          <w:szCs w:val="24"/>
        </w:rPr>
      </w:pPr>
    </w:p>
    <w:p w:rsidR="007C342F" w:rsidRDefault="007C342F" w:rsidP="007C342F">
      <w:pPr>
        <w:spacing w:line="480" w:lineRule="auto"/>
        <w:rPr>
          <w:rFonts w:ascii="Times New Roman" w:hAnsi="Times New Roman" w:cs="Times New Roman"/>
          <w:sz w:val="24"/>
          <w:szCs w:val="24"/>
        </w:rPr>
      </w:pPr>
    </w:p>
    <w:p w:rsidR="007C342F" w:rsidRDefault="007C342F" w:rsidP="007C342F">
      <w:pPr>
        <w:spacing w:line="480" w:lineRule="auto"/>
        <w:rPr>
          <w:rFonts w:ascii="Times New Roman" w:hAnsi="Times New Roman" w:cs="Times New Roman"/>
          <w:sz w:val="24"/>
          <w:szCs w:val="24"/>
        </w:rPr>
      </w:pPr>
    </w:p>
    <w:p w:rsidR="007C342F" w:rsidRDefault="007C342F" w:rsidP="007C342F">
      <w:pPr>
        <w:spacing w:line="480" w:lineRule="auto"/>
        <w:rPr>
          <w:rFonts w:ascii="Times New Roman" w:hAnsi="Times New Roman" w:cs="Times New Roman"/>
          <w:sz w:val="24"/>
          <w:szCs w:val="24"/>
        </w:rPr>
      </w:pPr>
    </w:p>
    <w:p w:rsidR="007C342F" w:rsidRDefault="007C342F" w:rsidP="007C342F">
      <w:pPr>
        <w:spacing w:line="480" w:lineRule="auto"/>
        <w:rPr>
          <w:rFonts w:ascii="Times New Roman" w:hAnsi="Times New Roman" w:cs="Times New Roman"/>
          <w:sz w:val="24"/>
          <w:szCs w:val="24"/>
        </w:rPr>
      </w:pPr>
    </w:p>
    <w:p w:rsidR="007C342F" w:rsidRDefault="007C342F" w:rsidP="007C342F">
      <w:pPr>
        <w:spacing w:line="480" w:lineRule="auto"/>
        <w:rPr>
          <w:rFonts w:ascii="Times New Roman" w:hAnsi="Times New Roman" w:cs="Times New Roman"/>
          <w:sz w:val="24"/>
          <w:szCs w:val="24"/>
        </w:rPr>
      </w:pP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lastRenderedPageBreak/>
        <w:t>Case Study: Low Back Pain and Migraines</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History</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Chief Complaint: the patient presents to the office complaining of pain in the low back and migraine.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History of Present Illness: The patient is a 63-year-old male who presents to the clinic complaining of back pain and migraines. The patient is currently under the care of pain management and orthopedic for back pain. He has experienced migraines since 2018 and received Botox injections in Kansas City. The patient has never seen a neurologist since.</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Medical history: the patient has a history of migraines, back pain, and renal cyst. However, the patient has not experienced any surgical operation.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Current Medications: none</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Family History: The patient's mother has been diagnosed with breast cancer.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Social history: the patient is not married, and neither does he have children nor a sexual partner. He denies smoking, use of alcohol, or any illicit drug.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Allergies: none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Review of Systems</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Constitutional: no chills, no fever, nobody malaise, denies any changes in weight.</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lastRenderedPageBreak/>
        <w:t xml:space="preserve">HEENT: the patient is negative for both double and blurred vision, negative for sore throat, pain in the ears, no rhinorrhea, teeth are well maintained, has headache associated with dull aching pain.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Cardiovascular: neither pain in the chest nor palpitation.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Respiratory: no coughing or instances of breathing difficulties.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Gastrointestinal: the patient has diarrhea as well as pain in the abdomen, no blood in the stool, no vomiting.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Endocrine: no instances of polydipsia, polyuria, and polyphagia.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Genitourinary: no challenges when urinating.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Musculoskeletal: the patient experiences pain in the low back, no swelling of joints.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Extremities: positive for movement exacerbation, capillary refills in less than 3 seconds, pain radiation to the lower parts of the left leg, intermitted leg pain.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Skin/integumentary/ breast: the temperature and color of the skin does not change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Allergy/immunological: negative for allergies.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Neurological: no weakness and dizziness, has a headache.</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Psychiatric: the patient does not have depression, confusion, and does not think of committing suicide.</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Physical Examination</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lastRenderedPageBreak/>
        <w:t xml:space="preserve">Vital Signs: weight 206lbs, height 74inches, BMI 26.45, BP 140/88, HR 66, RR 18, Temp 98.0, O2 98% on RA.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General survey: the patient is properly nourished and developed, negative for acute distress, and looks cooperative.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HEENT: Normocephalic, normal conjunctivae, PERRLA, normal conjunctivae, sclerae anicteric; external ear canal no redness, no swelling, TM intact no bulging pearl-gray color; the nasal cavity is pink in color and smooth, moist surface, the nasal septum has no deviation, perforation, bleeding; no tenderness on all sinuses; lips no lesion, moist; the tongue is pink and even, buccal mucosa pink, smooth, and moist, no lesions. Tonsils 1+ without exudate.</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Cardiovascular: regular heart rate and rhythm, S1 and S2 with no murmurs or thrills.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Respiratory: Bilateral breath sounds clear to auscultation; respirations are non-labored, and breath sounds are equal. Chest wall; no tenderness and no deformity.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Abdomen: bowel sounds are normal, positive for distention, no tenderness.</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Musculoskeletal: the patient can extend his spine and flex but with pain. Presence of pain in the low back</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Extremities: no edema, clubbing, and cyanosis, pulses are equal and palpable.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Neurological: well oriented and alert to person, situation, time, and place.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Skin: skin is intact, the temperature is normal.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Posterior: no limitation in range of motion, spine is straight.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lastRenderedPageBreak/>
        <w:t>Assessment</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Primary Diagnosis</w:t>
      </w:r>
    </w:p>
    <w:p w:rsidR="00515B45" w:rsidRPr="007C342F" w:rsidRDefault="00515B45" w:rsidP="007C342F">
      <w:pPr>
        <w:pStyle w:val="ListParagraph"/>
        <w:numPr>
          <w:ilvl w:val="0"/>
          <w:numId w:val="7"/>
        </w:numPr>
        <w:spacing w:line="480" w:lineRule="auto"/>
        <w:rPr>
          <w:rFonts w:ascii="Times New Roman" w:hAnsi="Times New Roman" w:cs="Times New Roman"/>
          <w:sz w:val="24"/>
          <w:szCs w:val="24"/>
        </w:rPr>
      </w:pPr>
      <w:r w:rsidRPr="007C342F">
        <w:rPr>
          <w:rFonts w:ascii="Times New Roman" w:hAnsi="Times New Roman" w:cs="Times New Roman"/>
          <w:sz w:val="24"/>
          <w:szCs w:val="24"/>
        </w:rPr>
        <w:t>M545- Low back pain: Primarily, the patient is experiencing low back pain that is presented by the ICD-Code M545</w:t>
      </w:r>
      <w:r w:rsidR="007C342F" w:rsidRPr="007C342F">
        <w:rPr>
          <w:rFonts w:ascii="Times New Roman" w:hAnsi="Times New Roman" w:cs="Times New Roman"/>
          <w:sz w:val="24"/>
          <w:szCs w:val="24"/>
        </w:rPr>
        <w:t xml:space="preserve"> (</w:t>
      </w:r>
      <w:r w:rsidR="007C342F" w:rsidRPr="007C342F">
        <w:rPr>
          <w:rFonts w:ascii="Times New Roman" w:eastAsia="Times New Roman" w:hAnsi="Times New Roman" w:cs="Times New Roman"/>
          <w:sz w:val="24"/>
          <w:szCs w:val="24"/>
        </w:rPr>
        <w:t>Oliveira</w:t>
      </w:r>
      <w:r w:rsidR="007C342F" w:rsidRPr="007C342F">
        <w:rPr>
          <w:rFonts w:ascii="Times New Roman" w:eastAsia="Times New Roman" w:hAnsi="Times New Roman" w:cs="Times New Roman"/>
          <w:sz w:val="24"/>
          <w:szCs w:val="24"/>
        </w:rPr>
        <w:t xml:space="preserve"> et al., 2018)</w:t>
      </w:r>
      <w:r w:rsidRPr="007C342F">
        <w:rPr>
          <w:rFonts w:ascii="Times New Roman" w:hAnsi="Times New Roman" w:cs="Times New Roman"/>
          <w:sz w:val="24"/>
          <w:szCs w:val="24"/>
        </w:rPr>
        <w:t xml:space="preserve">. The symptoms of low back pain include tenderness of right and left lumbar, acute and chronic low back pain, pain movement for the lumbar spine, and abdominal pain. Low back pain is mostly a result of an injury. However, other causes may include arthritis and infections of the kidney. </w:t>
      </w:r>
    </w:p>
    <w:p w:rsidR="00515B45" w:rsidRPr="007C342F" w:rsidRDefault="00515B45" w:rsidP="007C342F">
      <w:pPr>
        <w:pStyle w:val="ListParagraph"/>
        <w:numPr>
          <w:ilvl w:val="0"/>
          <w:numId w:val="7"/>
        </w:num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R195 - Other fecal abnormalities: Other fecal abnormalities may include fecal occult blood, which is a condition associated with the presence of blood in the feces. A test of fecal occult blood may be undertaken to check for unseen blood in feces. Sometimes fecal abnormalities may result in pain in the lower back in a condition known as fecal impaction that is most common among older people. </w:t>
      </w:r>
    </w:p>
    <w:p w:rsidR="00515B45" w:rsidRPr="007C342F" w:rsidRDefault="00515B45" w:rsidP="007C342F">
      <w:pPr>
        <w:pStyle w:val="ListParagraph"/>
        <w:numPr>
          <w:ilvl w:val="0"/>
          <w:numId w:val="7"/>
        </w:numPr>
        <w:spacing w:line="480" w:lineRule="auto"/>
        <w:rPr>
          <w:rFonts w:ascii="Times New Roman" w:hAnsi="Times New Roman" w:cs="Times New Roman"/>
          <w:sz w:val="24"/>
          <w:szCs w:val="24"/>
        </w:rPr>
      </w:pPr>
      <w:r w:rsidRPr="007C342F">
        <w:rPr>
          <w:rFonts w:ascii="Times New Roman" w:hAnsi="Times New Roman" w:cs="Times New Roman"/>
          <w:sz w:val="24"/>
          <w:szCs w:val="24"/>
        </w:rPr>
        <w:t>N281 - Cyst of a kidney, acquired: acquired cystic kidney is a condition whereby the kidneys o an individual develop sacs filled with fluid in the long run. Adults at risk of developing this condition are mostly the ones with other health conditions like chronic and end-kidney diseases. People with acquired cystic kidney conditions may develop various complications like an infected cyst that results in fever and lower back pains</w:t>
      </w:r>
      <w:r w:rsidR="007C342F" w:rsidRPr="007C342F">
        <w:rPr>
          <w:rFonts w:ascii="Times New Roman" w:hAnsi="Times New Roman" w:cs="Times New Roman"/>
          <w:sz w:val="24"/>
          <w:szCs w:val="24"/>
        </w:rPr>
        <w:t xml:space="preserve"> (</w:t>
      </w:r>
      <w:r w:rsidR="007C342F" w:rsidRPr="007C342F">
        <w:rPr>
          <w:rFonts w:ascii="Times New Roman" w:eastAsia="Times New Roman" w:hAnsi="Times New Roman" w:cs="Times New Roman"/>
          <w:sz w:val="24"/>
          <w:szCs w:val="24"/>
        </w:rPr>
        <w:t>Chou et al., 2018</w:t>
      </w:r>
      <w:r w:rsidR="007C342F"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xml:space="preserve">. </w:t>
      </w:r>
    </w:p>
    <w:p w:rsidR="00515B45" w:rsidRPr="007C342F" w:rsidRDefault="00515B45" w:rsidP="007C342F">
      <w:pPr>
        <w:pStyle w:val="ListParagraph"/>
        <w:numPr>
          <w:ilvl w:val="0"/>
          <w:numId w:val="7"/>
        </w:num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G43909 - Migraine, unspecified, not intractable, without status migrainosus: This is a condition whose characteristics include a severe and frequent headache that is one-sided, nausea or vomiting, and sensory disorders. This condition can result in lower back pains ranging from mild to severe.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lastRenderedPageBreak/>
        <w:t>Pathophysiology</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The health issue of low back pain is common in the United States, with a prevalence of 10 to 30 percent each year. The lifetime prevalence of adults in the United States with low back pain ranges between 65 and 80 percent. Some of the factors that may contribute to pain include changes in the biomechanical structures of the structure of the disk and ingrowth of neurovascular</w:t>
      </w:r>
      <w:r w:rsidR="007C342F" w:rsidRPr="007C342F">
        <w:rPr>
          <w:rFonts w:ascii="Times New Roman" w:hAnsi="Times New Roman" w:cs="Times New Roman"/>
          <w:sz w:val="24"/>
          <w:szCs w:val="24"/>
        </w:rPr>
        <w:t xml:space="preserve"> (</w:t>
      </w:r>
      <w:r w:rsidR="007C342F" w:rsidRPr="00795BAD">
        <w:rPr>
          <w:rFonts w:ascii="Times New Roman" w:eastAsia="Times New Roman" w:hAnsi="Times New Roman" w:cs="Times New Roman"/>
          <w:sz w:val="24"/>
          <w:szCs w:val="24"/>
        </w:rPr>
        <w:t>Tegner</w:t>
      </w:r>
      <w:r w:rsidR="007C342F" w:rsidRPr="007C342F">
        <w:rPr>
          <w:rFonts w:ascii="Times New Roman" w:eastAsia="Times New Roman" w:hAnsi="Times New Roman" w:cs="Times New Roman"/>
          <w:sz w:val="24"/>
          <w:szCs w:val="24"/>
        </w:rPr>
        <w:t xml:space="preserve"> et al., 2018)</w:t>
      </w:r>
      <w:r w:rsidRPr="007C342F">
        <w:rPr>
          <w:rFonts w:ascii="Times New Roman" w:hAnsi="Times New Roman" w:cs="Times New Roman"/>
          <w:sz w:val="24"/>
          <w:szCs w:val="24"/>
        </w:rPr>
        <w:t>. When the structure of the disk is lost, it affects the loading alignment of the spinal column, such as ligaments, muscles of paraspinal and facet joints, and this may also generate pain. Some of the essential components for the correct diagnosis of patient pathophysiology of low back pain are a history of a patient, diagnostic tests, and physical examination. Some of the etiologies associated with lower back pain include the failure of back surgery, stenosis of the spinal cord, pain in the joints, and myofascial pain.</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Lower back pain primarily encompasses three different sources, namely, referred pain, radicular, and axial lumbosacral. Axial lumbosacral is a form of lower back pain that is mainly experienced in the lumbar or sacral pain. Mechanical is one of the most popular types of axial back pain whose characteristics include low back pain, which can be relieved through deep rest, low back pain that becomes severe depending on specific activities like sports, and low back pain that gets severe depending on specific conditions like sitting for an extended time</w:t>
      </w:r>
      <w:r w:rsidR="007C342F" w:rsidRPr="007C342F">
        <w:rPr>
          <w:rFonts w:ascii="Times New Roman" w:hAnsi="Times New Roman" w:cs="Times New Roman"/>
          <w:sz w:val="24"/>
          <w:szCs w:val="24"/>
        </w:rPr>
        <w:t xml:space="preserve"> (</w:t>
      </w:r>
      <w:r w:rsidR="007C342F" w:rsidRPr="00795BAD">
        <w:rPr>
          <w:rFonts w:ascii="Times New Roman" w:eastAsia="Times New Roman" w:hAnsi="Times New Roman" w:cs="Times New Roman"/>
          <w:sz w:val="24"/>
          <w:szCs w:val="24"/>
        </w:rPr>
        <w:t>Bardin</w:t>
      </w:r>
      <w:r w:rsidR="007C342F" w:rsidRPr="007C342F">
        <w:rPr>
          <w:rFonts w:ascii="Times New Roman" w:eastAsia="Times New Roman" w:hAnsi="Times New Roman" w:cs="Times New Roman"/>
          <w:sz w:val="24"/>
          <w:szCs w:val="24"/>
        </w:rPr>
        <w:t xml:space="preserve"> et al., 2017</w:t>
      </w:r>
      <w:r w:rsidR="007C342F"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xml:space="preserve">. In addition, axial lumbosacral pain is majorly concentrated in the lower back area, meaning that it does not spread into other parts of the body, such as the legs and buttock. Radicular pain is the one that radiates from a person's back into the legs and then to the spine. The travel root is the spinal nerve. This type of pain is associated with symptoms like numbness, weakness of the muscles, and tingling. Radicular pain is caused by various factors that include </w:t>
      </w:r>
      <w:r w:rsidRPr="007C342F">
        <w:rPr>
          <w:rFonts w:ascii="Times New Roman" w:hAnsi="Times New Roman" w:cs="Times New Roman"/>
          <w:sz w:val="24"/>
          <w:szCs w:val="24"/>
        </w:rPr>
        <w:lastRenderedPageBreak/>
        <w:t>diabetes, injuries to the nerve roots, and scar tissues that may occur from a surgical operation of the spine.</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Referred pain is a condition in which the pain in one part of the body is a result of pain in a different part of the body. For example, when the heart becomes injured, it may cause pain to other body parts like jaws. Some of the causes of referred pain are reflexes and synapses. Other causes of this type of pain include heart attack, brain freeze, and Kehr's sign</w:t>
      </w:r>
      <w:r w:rsidR="007C342F" w:rsidRPr="007C342F">
        <w:rPr>
          <w:rFonts w:ascii="Times New Roman" w:hAnsi="Times New Roman" w:cs="Times New Roman"/>
          <w:sz w:val="24"/>
          <w:szCs w:val="24"/>
        </w:rPr>
        <w:t xml:space="preserve"> (</w:t>
      </w:r>
      <w:r w:rsidR="007C342F" w:rsidRPr="00795BAD">
        <w:rPr>
          <w:rFonts w:ascii="Times New Roman" w:eastAsia="Times New Roman" w:hAnsi="Times New Roman" w:cs="Times New Roman"/>
          <w:sz w:val="24"/>
          <w:szCs w:val="24"/>
        </w:rPr>
        <w:t>Bardin</w:t>
      </w:r>
      <w:r w:rsidR="007C342F" w:rsidRPr="007C342F">
        <w:rPr>
          <w:rFonts w:ascii="Times New Roman" w:eastAsia="Times New Roman" w:hAnsi="Times New Roman" w:cs="Times New Roman"/>
          <w:sz w:val="24"/>
          <w:szCs w:val="24"/>
        </w:rPr>
        <w:t xml:space="preserve"> et al., 2017</w:t>
      </w:r>
      <w:r w:rsidR="007C342F"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xml:space="preserve">. In most cases, low back pain does not go beyond a month. Some of the medications that can be sued to treat low back pain include pain relievers purchased over-the-counter, narcotics, antidepressants, and muscle relaxants.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Plan</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Working Diagnosis</w:t>
      </w:r>
    </w:p>
    <w:p w:rsidR="00515B45" w:rsidRPr="007C342F" w:rsidRDefault="00515B45" w:rsidP="007C342F">
      <w:pPr>
        <w:pStyle w:val="ListParagraph"/>
        <w:numPr>
          <w:ilvl w:val="0"/>
          <w:numId w:val="6"/>
        </w:numPr>
        <w:spacing w:line="480" w:lineRule="auto"/>
        <w:rPr>
          <w:rFonts w:ascii="Times New Roman" w:hAnsi="Times New Roman" w:cs="Times New Roman"/>
          <w:sz w:val="24"/>
          <w:szCs w:val="24"/>
        </w:rPr>
      </w:pPr>
      <w:r w:rsidRPr="007C342F">
        <w:rPr>
          <w:rFonts w:ascii="Times New Roman" w:hAnsi="Times New Roman" w:cs="Times New Roman"/>
          <w:sz w:val="24"/>
          <w:szCs w:val="24"/>
        </w:rPr>
        <w:t>Overweight; the differential diagnosis of obesity is necessitated by the fact that the patient has a BMI of 26.46 and a weight of 206lbs. Scientifically, individuals with a BMI ranging from 25 to 29.9 are said to be overweight</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Urits</w:t>
      </w:r>
      <w:r w:rsidR="00795BAD" w:rsidRPr="007C342F">
        <w:rPr>
          <w:rFonts w:ascii="Times New Roman" w:eastAsia="Times New Roman" w:hAnsi="Times New Roman" w:cs="Times New Roman"/>
          <w:sz w:val="24"/>
          <w:szCs w:val="24"/>
        </w:rPr>
        <w:t xml:space="preserve"> et al., 2019</w:t>
      </w:r>
      <w:r w:rsidR="00795BAD"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Being overweight is one of the contributing factors to low back pain. Notably, being overweight facilitates the shift of a person's center of gravity onward and adds more strain to the individual's back muscles.</w:t>
      </w:r>
    </w:p>
    <w:p w:rsidR="00515B45" w:rsidRPr="007C342F" w:rsidRDefault="00515B45" w:rsidP="007C342F">
      <w:pPr>
        <w:pStyle w:val="ListParagraph"/>
        <w:numPr>
          <w:ilvl w:val="0"/>
          <w:numId w:val="6"/>
        </w:numPr>
        <w:spacing w:line="480" w:lineRule="auto"/>
        <w:rPr>
          <w:rFonts w:ascii="Times New Roman" w:hAnsi="Times New Roman" w:cs="Times New Roman"/>
          <w:sz w:val="24"/>
          <w:szCs w:val="24"/>
        </w:rPr>
      </w:pPr>
      <w:r w:rsidRPr="007C342F">
        <w:rPr>
          <w:rFonts w:ascii="Times New Roman" w:hAnsi="Times New Roman" w:cs="Times New Roman"/>
          <w:sz w:val="24"/>
          <w:szCs w:val="24"/>
        </w:rPr>
        <w:t>High blood pressure; the working diagnosis of high blood pressure is validated by the fact that the patient has a blood pressure of 140/88</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Will</w:t>
      </w:r>
      <w:r w:rsidR="00795BAD" w:rsidRPr="007C342F">
        <w:rPr>
          <w:rFonts w:ascii="Times New Roman" w:eastAsia="Times New Roman" w:hAnsi="Times New Roman" w:cs="Times New Roman"/>
          <w:sz w:val="24"/>
          <w:szCs w:val="24"/>
        </w:rPr>
        <w:t xml:space="preserve"> et al., 2018)</w:t>
      </w:r>
      <w:r w:rsidRPr="007C342F">
        <w:rPr>
          <w:rFonts w:ascii="Times New Roman" w:hAnsi="Times New Roman" w:cs="Times New Roman"/>
          <w:sz w:val="24"/>
          <w:szCs w:val="24"/>
        </w:rPr>
        <w:t xml:space="preserve">. Basically, a blood pressure of140/88 may be considered dangerous, and this patient may be at risk of developing severe health conditions like heart disease. Back pain is one of the symptoms of high blood pressure. </w:t>
      </w:r>
    </w:p>
    <w:p w:rsidR="00515B45" w:rsidRPr="007C342F" w:rsidRDefault="00515B45" w:rsidP="007C342F">
      <w:pPr>
        <w:pStyle w:val="ListParagraph"/>
        <w:numPr>
          <w:ilvl w:val="0"/>
          <w:numId w:val="6"/>
        </w:numPr>
        <w:spacing w:line="480" w:lineRule="auto"/>
        <w:rPr>
          <w:rFonts w:ascii="Times New Roman" w:hAnsi="Times New Roman" w:cs="Times New Roman"/>
          <w:sz w:val="24"/>
          <w:szCs w:val="24"/>
        </w:rPr>
      </w:pPr>
      <w:r w:rsidRPr="007C342F">
        <w:rPr>
          <w:rFonts w:ascii="Times New Roman" w:hAnsi="Times New Roman" w:cs="Times New Roman"/>
          <w:sz w:val="24"/>
          <w:szCs w:val="24"/>
        </w:rPr>
        <w:lastRenderedPageBreak/>
        <w:t xml:space="preserve">Migraine: the previous medical history of the patient revealed that he has a history of migraines and back pain. Therefore, there is a high possibility that these conditions did not recover fully. When migraines become severe, the involved patients begin to experience pain in the back.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Diagnostics</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The assessment and management of the patient either in the office or in an outpatient visit involve a detailed history of the patient, a comprehensive examination, and clinical decision-making of modest complexity</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Urits</w:t>
      </w:r>
      <w:r w:rsidR="00795BAD" w:rsidRPr="007C342F">
        <w:rPr>
          <w:rFonts w:ascii="Times New Roman" w:eastAsia="Times New Roman" w:hAnsi="Times New Roman" w:cs="Times New Roman"/>
          <w:sz w:val="24"/>
          <w:szCs w:val="24"/>
        </w:rPr>
        <w:t xml:space="preserve"> et al., 2019)</w:t>
      </w:r>
      <w:r w:rsidRPr="007C342F">
        <w:rPr>
          <w:rFonts w:ascii="Times New Roman" w:hAnsi="Times New Roman" w:cs="Times New Roman"/>
          <w:sz w:val="24"/>
          <w:szCs w:val="24"/>
        </w:rPr>
        <w:t xml:space="preserve">. Care coordination is also essential among healthcare providers and counselors. The possible diagnostic tests include; </w:t>
      </w:r>
    </w:p>
    <w:p w:rsidR="00515B45" w:rsidRPr="007C342F" w:rsidRDefault="00515B45" w:rsidP="007C342F">
      <w:pPr>
        <w:pStyle w:val="ListParagraph"/>
        <w:numPr>
          <w:ilvl w:val="0"/>
          <w:numId w:val="5"/>
        </w:numPr>
        <w:spacing w:line="480" w:lineRule="auto"/>
        <w:rPr>
          <w:rFonts w:ascii="Times New Roman" w:hAnsi="Times New Roman" w:cs="Times New Roman"/>
          <w:sz w:val="24"/>
          <w:szCs w:val="24"/>
        </w:rPr>
      </w:pPr>
      <w:r w:rsidRPr="007C342F">
        <w:rPr>
          <w:rFonts w:ascii="Times New Roman" w:hAnsi="Times New Roman" w:cs="Times New Roman"/>
          <w:sz w:val="24"/>
          <w:szCs w:val="24"/>
        </w:rPr>
        <w:t>X-ray: an X-ray is effective in showing the alignment of the patient's bones to determine the possibility of arthritis or damaged bones. However, an X-ray alone cannot determine the problems associated with nerves, the spinal cord, and the nerves</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Urits</w:t>
      </w:r>
      <w:r w:rsidR="00795BAD" w:rsidRPr="007C342F">
        <w:rPr>
          <w:rFonts w:ascii="Times New Roman" w:eastAsia="Times New Roman" w:hAnsi="Times New Roman" w:cs="Times New Roman"/>
          <w:sz w:val="24"/>
          <w:szCs w:val="24"/>
        </w:rPr>
        <w:t xml:space="preserve"> et al., 2019</w:t>
      </w:r>
      <w:r w:rsidR="00795BAD"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xml:space="preserve">. </w:t>
      </w:r>
    </w:p>
    <w:p w:rsidR="00515B45" w:rsidRPr="007C342F" w:rsidRDefault="00515B45" w:rsidP="007C342F">
      <w:pPr>
        <w:pStyle w:val="ListParagraph"/>
        <w:numPr>
          <w:ilvl w:val="0"/>
          <w:numId w:val="5"/>
        </w:numPr>
        <w:spacing w:line="480" w:lineRule="auto"/>
        <w:rPr>
          <w:rFonts w:ascii="Times New Roman" w:hAnsi="Times New Roman" w:cs="Times New Roman"/>
          <w:sz w:val="24"/>
          <w:szCs w:val="24"/>
        </w:rPr>
      </w:pPr>
      <w:r w:rsidRPr="007C342F">
        <w:rPr>
          <w:rFonts w:ascii="Times New Roman" w:hAnsi="Times New Roman" w:cs="Times New Roman"/>
          <w:sz w:val="24"/>
          <w:szCs w:val="24"/>
        </w:rPr>
        <w:t>Blood tests: lab tests include urinalysis and complete blood count. Blood tests are essential in determining the possibility of an infection that may be contributing to the pain. In case the concerned healthcare professional suspects an infection, a risk factor, or a fracture, they may order immediate blood tests</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Bardin</w:t>
      </w:r>
      <w:r w:rsidR="00795BAD" w:rsidRPr="007C342F">
        <w:rPr>
          <w:rFonts w:ascii="Times New Roman" w:eastAsia="Times New Roman" w:hAnsi="Times New Roman" w:cs="Times New Roman"/>
          <w:sz w:val="24"/>
          <w:szCs w:val="24"/>
        </w:rPr>
        <w:t xml:space="preserve"> et al., 2017)</w:t>
      </w:r>
      <w:r w:rsidRPr="007C342F">
        <w:rPr>
          <w:rFonts w:ascii="Times New Roman" w:hAnsi="Times New Roman" w:cs="Times New Roman"/>
          <w:sz w:val="24"/>
          <w:szCs w:val="24"/>
        </w:rPr>
        <w:t xml:space="preserve">. </w:t>
      </w:r>
    </w:p>
    <w:p w:rsidR="00515B45" w:rsidRPr="007C342F" w:rsidRDefault="00515B45" w:rsidP="007C342F">
      <w:pPr>
        <w:pStyle w:val="ListParagraph"/>
        <w:numPr>
          <w:ilvl w:val="0"/>
          <w:numId w:val="5"/>
        </w:num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MRI: magnetic resonance imaging is preferred to generate cross-sectional images of bones, muscles, and nerves to determine if they are injured and may thus be contributing to pain.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Medical Management</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OTC: Tylenol 5oomg I tab orally for 6 to 8 hours, Ibuprofen 400mg orally two times a day</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Chou</w:t>
      </w:r>
      <w:r w:rsidR="00795BAD" w:rsidRPr="007C342F">
        <w:rPr>
          <w:rFonts w:ascii="Times New Roman" w:eastAsia="Times New Roman" w:hAnsi="Times New Roman" w:cs="Times New Roman"/>
          <w:sz w:val="24"/>
          <w:szCs w:val="24"/>
        </w:rPr>
        <w:t xml:space="preserve"> et al., 2018)</w:t>
      </w:r>
      <w:r w:rsidRPr="007C342F">
        <w:rPr>
          <w:rFonts w:ascii="Times New Roman" w:hAnsi="Times New Roman" w:cs="Times New Roman"/>
          <w:sz w:val="24"/>
          <w:szCs w:val="24"/>
        </w:rPr>
        <w:t>.</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lastRenderedPageBreak/>
        <w:t>The treatment of low back pain and migraines involves the use of both medications and physical therapy. Some of the preferred medications include `pain relievers, narcotics, and antidepressants. The most preferred pain relievers for low back pain and migraines include ibuprofen and naproxen sodium. However, these medications should only be taken as per the physician's instructions to prevent side effects such as breathing problems, constipation, vomiting, and drowsiness. Narcotics are majorly opioid-containing drugs, like oxycodone</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Chou</w:t>
      </w:r>
      <w:r w:rsidR="00795BAD" w:rsidRPr="007C342F">
        <w:rPr>
          <w:rFonts w:ascii="Times New Roman" w:eastAsia="Times New Roman" w:hAnsi="Times New Roman" w:cs="Times New Roman"/>
          <w:sz w:val="24"/>
          <w:szCs w:val="24"/>
        </w:rPr>
        <w:t xml:space="preserve"> et al., 2018)</w:t>
      </w:r>
      <w:r w:rsidRPr="007C342F">
        <w:rPr>
          <w:rFonts w:ascii="Times New Roman" w:hAnsi="Times New Roman" w:cs="Times New Roman"/>
          <w:sz w:val="24"/>
          <w:szCs w:val="24"/>
        </w:rPr>
        <w:t xml:space="preserve">. The patient should adhere to the directives given by the physicians to prevent the occurrence of side effects such as drowsiness, constipation, and confusion. Antidepressants include duloxetine, and they are preferred to relieve chronic pain in the back. </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Physical therapy is also deemed essential, whereby the patient can be taught the vitality of being flexible, strengthening his muscles, and improving his posture</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Maher</w:t>
      </w:r>
      <w:r w:rsidR="00795BAD" w:rsidRPr="007C342F">
        <w:rPr>
          <w:rFonts w:ascii="Times New Roman" w:eastAsia="Times New Roman" w:hAnsi="Times New Roman" w:cs="Times New Roman"/>
          <w:sz w:val="24"/>
          <w:szCs w:val="24"/>
        </w:rPr>
        <w:t xml:space="preserve"> et al., 2017)</w:t>
      </w:r>
      <w:r w:rsidRPr="007C342F">
        <w:rPr>
          <w:rFonts w:ascii="Times New Roman" w:hAnsi="Times New Roman" w:cs="Times New Roman"/>
          <w:sz w:val="24"/>
          <w:szCs w:val="24"/>
        </w:rPr>
        <w:t>. These strategies can be essential in lowering pain and improving the general health of the patient, considering that the patient is overweight and is at risk of developing high blood pressure.</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Prognosis</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Low back pain may not extend for long. Basically, low back pain may disappear on its own, and individuals usually recover in a short time, say days or few weeks. The recovery rate, as well as the time taken by individuals to heal from low back pain and migraines, depends on the medication interventions subjected to patients</w:t>
      </w:r>
      <w:r w:rsidR="00795BAD" w:rsidRPr="007C342F">
        <w:rPr>
          <w:rFonts w:ascii="Times New Roman" w:hAnsi="Times New Roman" w:cs="Times New Roman"/>
          <w:sz w:val="24"/>
          <w:szCs w:val="24"/>
        </w:rPr>
        <w:t xml:space="preserve"> (</w:t>
      </w:r>
      <w:r w:rsidR="00795BAD" w:rsidRPr="007C342F">
        <w:rPr>
          <w:rFonts w:ascii="Times New Roman" w:eastAsia="Times New Roman" w:hAnsi="Times New Roman" w:cs="Times New Roman"/>
          <w:sz w:val="24"/>
          <w:szCs w:val="24"/>
        </w:rPr>
        <w:t>Buchbinder et al., 2018</w:t>
      </w:r>
      <w:r w:rsidR="00795BAD" w:rsidRPr="007C342F">
        <w:rPr>
          <w:rFonts w:ascii="Times New Roman" w:eastAsia="Times New Roman" w:hAnsi="Times New Roman" w:cs="Times New Roman"/>
          <w:sz w:val="24"/>
          <w:szCs w:val="24"/>
        </w:rPr>
        <w:t>)</w:t>
      </w:r>
      <w:r w:rsidRPr="007C342F">
        <w:rPr>
          <w:rFonts w:ascii="Times New Roman" w:hAnsi="Times New Roman" w:cs="Times New Roman"/>
          <w:sz w:val="24"/>
          <w:szCs w:val="24"/>
        </w:rPr>
        <w:t xml:space="preserve">. In case the involved patients have other health conditions, their rate of recovery is also delayed. </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Patient Education</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lastRenderedPageBreak/>
        <w:t xml:space="preserve">Follow physician's instructions pertaining to the consumption of administered medications. The patient should not stop taking the administered medications without informing the respective healthcare provider. </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t>Take the medications regularly and accordingly for better health quality and faster recovery. Avoid lifting or pulling.</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t>Take enough rest.</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t>Regular physical exercises to prevent obesity because the patient is already overweight.</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t>Consume healthy foods like fruits and vegetables.</w:t>
      </w:r>
    </w:p>
    <w:p w:rsidR="00515B45" w:rsidRPr="007C342F" w:rsidRDefault="00515B45" w:rsidP="007C342F">
      <w:pPr>
        <w:pStyle w:val="ListParagraph"/>
        <w:numPr>
          <w:ilvl w:val="0"/>
          <w:numId w:val="4"/>
        </w:numPr>
        <w:spacing w:line="480" w:lineRule="auto"/>
        <w:rPr>
          <w:rFonts w:ascii="Times New Roman" w:hAnsi="Times New Roman" w:cs="Times New Roman"/>
          <w:sz w:val="24"/>
          <w:szCs w:val="24"/>
        </w:rPr>
      </w:pPr>
      <w:r w:rsidRPr="007C342F">
        <w:rPr>
          <w:rFonts w:ascii="Times New Roman" w:hAnsi="Times New Roman" w:cs="Times New Roman"/>
          <w:sz w:val="24"/>
          <w:szCs w:val="24"/>
        </w:rPr>
        <w:t>Regular screening to prevent dangerous symptoms</w:t>
      </w:r>
      <w:r w:rsidR="00795BAD" w:rsidRPr="007C342F">
        <w:rPr>
          <w:rFonts w:ascii="Times New Roman" w:hAnsi="Times New Roman" w:cs="Times New Roman"/>
          <w:sz w:val="24"/>
          <w:szCs w:val="24"/>
        </w:rPr>
        <w:t xml:space="preserve"> (</w:t>
      </w:r>
      <w:r w:rsidR="00795BAD" w:rsidRPr="007C342F">
        <w:rPr>
          <w:rFonts w:ascii="Times New Roman" w:eastAsia="Times New Roman" w:hAnsi="Times New Roman" w:cs="Times New Roman"/>
          <w:sz w:val="24"/>
          <w:szCs w:val="24"/>
        </w:rPr>
        <w:t>Buchbinder</w:t>
      </w:r>
      <w:r w:rsidR="00795BAD" w:rsidRPr="007C342F">
        <w:rPr>
          <w:rFonts w:ascii="Times New Roman" w:eastAsia="Times New Roman" w:hAnsi="Times New Roman" w:cs="Times New Roman"/>
          <w:sz w:val="24"/>
          <w:szCs w:val="24"/>
        </w:rPr>
        <w:t xml:space="preserve"> et al., 2018).</w:t>
      </w:r>
    </w:p>
    <w:p w:rsidR="00515B45" w:rsidRPr="007C342F"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t>Follow-up and Referral</w:t>
      </w:r>
    </w:p>
    <w:p w:rsidR="00515B45" w:rsidRPr="007C342F" w:rsidRDefault="00515B45" w:rsidP="007C342F">
      <w:pPr>
        <w:spacing w:line="480" w:lineRule="auto"/>
        <w:ind w:firstLine="720"/>
        <w:rPr>
          <w:rFonts w:ascii="Times New Roman" w:hAnsi="Times New Roman" w:cs="Times New Roman"/>
          <w:sz w:val="24"/>
          <w:szCs w:val="24"/>
        </w:rPr>
      </w:pPr>
      <w:r w:rsidRPr="007C342F">
        <w:rPr>
          <w:rFonts w:ascii="Times New Roman" w:hAnsi="Times New Roman" w:cs="Times New Roman"/>
          <w:sz w:val="24"/>
          <w:szCs w:val="24"/>
        </w:rPr>
        <w:t>The involved physicians should make a follow-up of the patient after 2 months to monitor the health progress of the patient. In case symptoms become severe, the patient should be referred to a neurologist and urologist for further clinical evaluation and treatment</w:t>
      </w:r>
      <w:r w:rsidR="00795BAD" w:rsidRPr="007C342F">
        <w:rPr>
          <w:rFonts w:ascii="Times New Roman" w:hAnsi="Times New Roman" w:cs="Times New Roman"/>
          <w:sz w:val="24"/>
          <w:szCs w:val="24"/>
        </w:rPr>
        <w:t xml:space="preserve"> (</w:t>
      </w:r>
      <w:r w:rsidR="00795BAD" w:rsidRPr="00795BAD">
        <w:rPr>
          <w:rFonts w:ascii="Times New Roman" w:eastAsia="Times New Roman" w:hAnsi="Times New Roman" w:cs="Times New Roman"/>
          <w:sz w:val="24"/>
          <w:szCs w:val="24"/>
        </w:rPr>
        <w:t>Gardner</w:t>
      </w:r>
      <w:r w:rsidR="00795BAD" w:rsidRPr="007C342F">
        <w:rPr>
          <w:rFonts w:ascii="Times New Roman" w:eastAsia="Times New Roman" w:hAnsi="Times New Roman" w:cs="Times New Roman"/>
          <w:sz w:val="24"/>
          <w:szCs w:val="24"/>
        </w:rPr>
        <w:t xml:space="preserve"> et al., 2017)</w:t>
      </w:r>
      <w:r w:rsidRPr="007C342F">
        <w:rPr>
          <w:rFonts w:ascii="Times New Roman" w:hAnsi="Times New Roman" w:cs="Times New Roman"/>
          <w:sz w:val="24"/>
          <w:szCs w:val="24"/>
        </w:rPr>
        <w:t xml:space="preserve">. </w:t>
      </w:r>
    </w:p>
    <w:p w:rsidR="007C342F" w:rsidRDefault="007C342F" w:rsidP="007C342F">
      <w:pPr>
        <w:spacing w:line="480" w:lineRule="auto"/>
        <w:jc w:val="center"/>
        <w:rPr>
          <w:rFonts w:ascii="Times New Roman" w:hAnsi="Times New Roman" w:cs="Times New Roman"/>
          <w:b/>
          <w:sz w:val="24"/>
          <w:szCs w:val="24"/>
        </w:rPr>
      </w:pPr>
    </w:p>
    <w:p w:rsidR="007C342F" w:rsidRDefault="007C342F" w:rsidP="007C342F">
      <w:pPr>
        <w:spacing w:line="480" w:lineRule="auto"/>
        <w:jc w:val="center"/>
        <w:rPr>
          <w:rFonts w:ascii="Times New Roman" w:hAnsi="Times New Roman" w:cs="Times New Roman"/>
          <w:b/>
          <w:sz w:val="24"/>
          <w:szCs w:val="24"/>
        </w:rPr>
      </w:pPr>
    </w:p>
    <w:p w:rsidR="007C342F" w:rsidRDefault="007C342F" w:rsidP="007C342F">
      <w:pPr>
        <w:spacing w:line="480" w:lineRule="auto"/>
        <w:jc w:val="center"/>
        <w:rPr>
          <w:rFonts w:ascii="Times New Roman" w:hAnsi="Times New Roman" w:cs="Times New Roman"/>
          <w:b/>
          <w:sz w:val="24"/>
          <w:szCs w:val="24"/>
        </w:rPr>
      </w:pPr>
    </w:p>
    <w:p w:rsidR="007C342F" w:rsidRDefault="007C342F" w:rsidP="007C342F">
      <w:pPr>
        <w:spacing w:line="480" w:lineRule="auto"/>
        <w:jc w:val="center"/>
        <w:rPr>
          <w:rFonts w:ascii="Times New Roman" w:hAnsi="Times New Roman" w:cs="Times New Roman"/>
          <w:b/>
          <w:sz w:val="24"/>
          <w:szCs w:val="24"/>
        </w:rPr>
      </w:pPr>
    </w:p>
    <w:p w:rsidR="007C342F" w:rsidRDefault="007C342F" w:rsidP="007C342F">
      <w:pPr>
        <w:spacing w:line="480" w:lineRule="auto"/>
        <w:jc w:val="center"/>
        <w:rPr>
          <w:rFonts w:ascii="Times New Roman" w:hAnsi="Times New Roman" w:cs="Times New Roman"/>
          <w:b/>
          <w:sz w:val="24"/>
          <w:szCs w:val="24"/>
        </w:rPr>
      </w:pPr>
    </w:p>
    <w:p w:rsidR="007C342F" w:rsidRDefault="007C342F" w:rsidP="007C342F">
      <w:pPr>
        <w:spacing w:line="480" w:lineRule="auto"/>
        <w:jc w:val="center"/>
        <w:rPr>
          <w:rFonts w:ascii="Times New Roman" w:hAnsi="Times New Roman" w:cs="Times New Roman"/>
          <w:b/>
          <w:sz w:val="24"/>
          <w:szCs w:val="24"/>
        </w:rPr>
      </w:pPr>
    </w:p>
    <w:p w:rsidR="007C342F" w:rsidRPr="00795BAD" w:rsidRDefault="00515B45" w:rsidP="007C342F">
      <w:pPr>
        <w:spacing w:line="480" w:lineRule="auto"/>
        <w:jc w:val="center"/>
        <w:rPr>
          <w:rFonts w:ascii="Times New Roman" w:hAnsi="Times New Roman" w:cs="Times New Roman"/>
          <w:b/>
          <w:sz w:val="24"/>
          <w:szCs w:val="24"/>
        </w:rPr>
      </w:pPr>
      <w:r w:rsidRPr="007C342F">
        <w:rPr>
          <w:rFonts w:ascii="Times New Roman" w:hAnsi="Times New Roman" w:cs="Times New Roman"/>
          <w:b/>
          <w:sz w:val="24"/>
          <w:szCs w:val="24"/>
        </w:rPr>
        <w:lastRenderedPageBreak/>
        <w:t>References</w:t>
      </w:r>
      <w:bookmarkStart w:id="0" w:name="_GoBack"/>
      <w:bookmarkEnd w:id="0"/>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Bardin, L. D., King, P., &amp; Maher, C. G. (2017). Diagnostic triage for low back pain: a practical approach for primary care. </w:t>
      </w:r>
      <w:r w:rsidRPr="00795BAD">
        <w:rPr>
          <w:rFonts w:ascii="Times New Roman" w:eastAsia="Times New Roman" w:hAnsi="Times New Roman" w:cs="Times New Roman"/>
          <w:i/>
          <w:iCs/>
          <w:sz w:val="24"/>
          <w:szCs w:val="24"/>
        </w:rPr>
        <w:t>Medical Journal of Australia</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206</w:t>
      </w:r>
      <w:r w:rsidRPr="00795BAD">
        <w:rPr>
          <w:rFonts w:ascii="Times New Roman" w:eastAsia="Times New Roman" w:hAnsi="Times New Roman" w:cs="Times New Roman"/>
          <w:sz w:val="24"/>
          <w:szCs w:val="24"/>
        </w:rPr>
        <w:t>(6), 268-273.</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Buchbinder, R., van Tulder, M., Öberg, B., Costa, L. M., Woolf, A., Schoene, M., ... &amp; Maher, C. G. (2018). Low back pain: a call for action. </w:t>
      </w:r>
      <w:r w:rsidRPr="00795BAD">
        <w:rPr>
          <w:rFonts w:ascii="Times New Roman" w:eastAsia="Times New Roman" w:hAnsi="Times New Roman" w:cs="Times New Roman"/>
          <w:i/>
          <w:iCs/>
          <w:sz w:val="24"/>
          <w:szCs w:val="24"/>
        </w:rPr>
        <w:t>The Lancet</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391</w:t>
      </w:r>
      <w:r w:rsidRPr="00795BAD">
        <w:rPr>
          <w:rFonts w:ascii="Times New Roman" w:eastAsia="Times New Roman" w:hAnsi="Times New Roman" w:cs="Times New Roman"/>
          <w:sz w:val="24"/>
          <w:szCs w:val="24"/>
        </w:rPr>
        <w:t>(10137), 2384-2388.</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Chou, L., Ranger, T. A., Peiris, W., Cicuttini, F. M., Urquhart, D. M., Sullivan, K., ... &amp; Wluka, A. E. (2018). Patients' perceived needs of health care providers for low back pain management: a systematic scoping review. </w:t>
      </w:r>
      <w:r w:rsidRPr="00795BAD">
        <w:rPr>
          <w:rFonts w:ascii="Times New Roman" w:eastAsia="Times New Roman" w:hAnsi="Times New Roman" w:cs="Times New Roman"/>
          <w:i/>
          <w:iCs/>
          <w:sz w:val="24"/>
          <w:szCs w:val="24"/>
        </w:rPr>
        <w:t>The spine journal</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18</w:t>
      </w:r>
      <w:r w:rsidRPr="00795BAD">
        <w:rPr>
          <w:rFonts w:ascii="Times New Roman" w:eastAsia="Times New Roman" w:hAnsi="Times New Roman" w:cs="Times New Roman"/>
          <w:sz w:val="24"/>
          <w:szCs w:val="24"/>
        </w:rPr>
        <w:t>(4), 691-711.</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Gardner, T., Refshauge, K., Smith, L., McAuley, J., Hübscher, M., &amp; Goodall, S. (2017). Physiotherapists’ beliefs and attitudes influence clinical practice in chronic low back pain: a systematic review of quantitative and qualitative studies. </w:t>
      </w:r>
      <w:r w:rsidRPr="00795BAD">
        <w:rPr>
          <w:rFonts w:ascii="Times New Roman" w:eastAsia="Times New Roman" w:hAnsi="Times New Roman" w:cs="Times New Roman"/>
          <w:i/>
          <w:iCs/>
          <w:sz w:val="24"/>
          <w:szCs w:val="24"/>
        </w:rPr>
        <w:t>Journal of physiotherapy</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63</w:t>
      </w:r>
      <w:r w:rsidRPr="00795BAD">
        <w:rPr>
          <w:rFonts w:ascii="Times New Roman" w:eastAsia="Times New Roman" w:hAnsi="Times New Roman" w:cs="Times New Roman"/>
          <w:sz w:val="24"/>
          <w:szCs w:val="24"/>
        </w:rPr>
        <w:t>(3), 132-143.</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Maher, C., Underwood, M., &amp; Buchbinder, R. (2017). Non-specific low back pain. </w:t>
      </w:r>
      <w:r w:rsidRPr="00795BAD">
        <w:rPr>
          <w:rFonts w:ascii="Times New Roman" w:eastAsia="Times New Roman" w:hAnsi="Times New Roman" w:cs="Times New Roman"/>
          <w:i/>
          <w:iCs/>
          <w:sz w:val="24"/>
          <w:szCs w:val="24"/>
        </w:rPr>
        <w:t>The Lancet</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389</w:t>
      </w:r>
      <w:r w:rsidRPr="00795BAD">
        <w:rPr>
          <w:rFonts w:ascii="Times New Roman" w:eastAsia="Times New Roman" w:hAnsi="Times New Roman" w:cs="Times New Roman"/>
          <w:sz w:val="24"/>
          <w:szCs w:val="24"/>
        </w:rPr>
        <w:t>(10070), 736-747.</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C342F">
        <w:rPr>
          <w:rFonts w:ascii="Times New Roman" w:eastAsia="Times New Roman" w:hAnsi="Times New Roman" w:cs="Times New Roman"/>
          <w:sz w:val="24"/>
          <w:szCs w:val="24"/>
        </w:rPr>
        <w:t xml:space="preserve">Oliveira, C. B., Maher, C. G., Pinto, R. Z., Traeger, A. C., Lin, C. W. C., Chenot, J. F., ... &amp; Koes, B. W. (2018). Clinical practice guidelines for the management of non-specific low back pain in primary care: an updated overview. </w:t>
      </w:r>
      <w:r w:rsidRPr="007C342F">
        <w:rPr>
          <w:rFonts w:ascii="Times New Roman" w:eastAsia="Times New Roman" w:hAnsi="Times New Roman" w:cs="Times New Roman"/>
          <w:i/>
          <w:iCs/>
          <w:sz w:val="24"/>
          <w:szCs w:val="24"/>
        </w:rPr>
        <w:t>European Spine Journal</w:t>
      </w:r>
      <w:r w:rsidRPr="007C342F">
        <w:rPr>
          <w:rFonts w:ascii="Times New Roman" w:eastAsia="Times New Roman" w:hAnsi="Times New Roman" w:cs="Times New Roman"/>
          <w:sz w:val="24"/>
          <w:szCs w:val="24"/>
        </w:rPr>
        <w:t xml:space="preserve">, </w:t>
      </w:r>
      <w:r w:rsidRPr="007C342F">
        <w:rPr>
          <w:rFonts w:ascii="Times New Roman" w:eastAsia="Times New Roman" w:hAnsi="Times New Roman" w:cs="Times New Roman"/>
          <w:i/>
          <w:iCs/>
          <w:sz w:val="24"/>
          <w:szCs w:val="24"/>
        </w:rPr>
        <w:t>27</w:t>
      </w:r>
      <w:r w:rsidRPr="007C342F">
        <w:rPr>
          <w:rFonts w:ascii="Times New Roman" w:eastAsia="Times New Roman" w:hAnsi="Times New Roman" w:cs="Times New Roman"/>
          <w:sz w:val="24"/>
          <w:szCs w:val="24"/>
        </w:rPr>
        <w:t>(11), 2791-2803.</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Tegner, H., Frederiksen, P., Esbensen, B. A., &amp; Juhl, C. (2018). Neurophysiological pain education for patients with chronic low back pain. </w:t>
      </w:r>
      <w:r w:rsidRPr="00795BAD">
        <w:rPr>
          <w:rFonts w:ascii="Times New Roman" w:eastAsia="Times New Roman" w:hAnsi="Times New Roman" w:cs="Times New Roman"/>
          <w:i/>
          <w:iCs/>
          <w:sz w:val="24"/>
          <w:szCs w:val="24"/>
        </w:rPr>
        <w:t>The Clinical journal of pain</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34</w:t>
      </w:r>
      <w:r w:rsidRPr="00795BAD">
        <w:rPr>
          <w:rFonts w:ascii="Times New Roman" w:eastAsia="Times New Roman" w:hAnsi="Times New Roman" w:cs="Times New Roman"/>
          <w:sz w:val="24"/>
          <w:szCs w:val="24"/>
        </w:rPr>
        <w:t>(8), 778-786.</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lastRenderedPageBreak/>
        <w:t xml:space="preserve">Urits, I., Burshtein, A., Sharma, M., Testa, L., Gold, P. A., Orhurhu, V., ... &amp; Kaye, A. D. (2019). Low back pain, a comprehensive review: pathophysiology, diagnosis, and treatment. </w:t>
      </w:r>
      <w:r w:rsidRPr="00795BAD">
        <w:rPr>
          <w:rFonts w:ascii="Times New Roman" w:eastAsia="Times New Roman" w:hAnsi="Times New Roman" w:cs="Times New Roman"/>
          <w:i/>
          <w:iCs/>
          <w:sz w:val="24"/>
          <w:szCs w:val="24"/>
        </w:rPr>
        <w:t>Current pain and headache reports</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23</w:t>
      </w:r>
      <w:r w:rsidRPr="00795BAD">
        <w:rPr>
          <w:rFonts w:ascii="Times New Roman" w:eastAsia="Times New Roman" w:hAnsi="Times New Roman" w:cs="Times New Roman"/>
          <w:sz w:val="24"/>
          <w:szCs w:val="24"/>
        </w:rPr>
        <w:t>(3), 23.</w:t>
      </w:r>
    </w:p>
    <w:p w:rsidR="007C342F" w:rsidRPr="007C342F" w:rsidRDefault="007C342F" w:rsidP="007C342F">
      <w:pPr>
        <w:spacing w:after="0" w:line="480" w:lineRule="auto"/>
        <w:ind w:left="720" w:hanging="720"/>
        <w:rPr>
          <w:rFonts w:ascii="Times New Roman" w:eastAsia="Times New Roman" w:hAnsi="Times New Roman" w:cs="Times New Roman"/>
          <w:sz w:val="24"/>
          <w:szCs w:val="24"/>
        </w:rPr>
      </w:pPr>
      <w:r w:rsidRPr="00795BAD">
        <w:rPr>
          <w:rFonts w:ascii="Times New Roman" w:eastAsia="Times New Roman" w:hAnsi="Times New Roman" w:cs="Times New Roman"/>
          <w:sz w:val="24"/>
          <w:szCs w:val="24"/>
        </w:rPr>
        <w:t xml:space="preserve">Will, J. S., Bury, D. C., &amp; Miller, J. A. (2018). Mechanical low back pain. </w:t>
      </w:r>
      <w:r w:rsidRPr="00795BAD">
        <w:rPr>
          <w:rFonts w:ascii="Times New Roman" w:eastAsia="Times New Roman" w:hAnsi="Times New Roman" w:cs="Times New Roman"/>
          <w:i/>
          <w:iCs/>
          <w:sz w:val="24"/>
          <w:szCs w:val="24"/>
        </w:rPr>
        <w:t>American family physician</w:t>
      </w:r>
      <w:r w:rsidRPr="00795BAD">
        <w:rPr>
          <w:rFonts w:ascii="Times New Roman" w:eastAsia="Times New Roman" w:hAnsi="Times New Roman" w:cs="Times New Roman"/>
          <w:sz w:val="24"/>
          <w:szCs w:val="24"/>
        </w:rPr>
        <w:t xml:space="preserve">, </w:t>
      </w:r>
      <w:r w:rsidRPr="00795BAD">
        <w:rPr>
          <w:rFonts w:ascii="Times New Roman" w:eastAsia="Times New Roman" w:hAnsi="Times New Roman" w:cs="Times New Roman"/>
          <w:i/>
          <w:iCs/>
          <w:sz w:val="24"/>
          <w:szCs w:val="24"/>
        </w:rPr>
        <w:t>98</w:t>
      </w:r>
      <w:r w:rsidRPr="00795BAD">
        <w:rPr>
          <w:rFonts w:ascii="Times New Roman" w:eastAsia="Times New Roman" w:hAnsi="Times New Roman" w:cs="Times New Roman"/>
          <w:sz w:val="24"/>
          <w:szCs w:val="24"/>
        </w:rPr>
        <w:t>(7), 421-428.</w:t>
      </w:r>
    </w:p>
    <w:p w:rsidR="00795BAD" w:rsidRPr="00795BAD" w:rsidRDefault="00795BAD" w:rsidP="007C342F">
      <w:pPr>
        <w:spacing w:after="0" w:line="480" w:lineRule="auto"/>
        <w:rPr>
          <w:rFonts w:ascii="Times New Roman" w:eastAsia="Times New Roman" w:hAnsi="Times New Roman" w:cs="Times New Roman"/>
          <w:sz w:val="24"/>
          <w:szCs w:val="24"/>
        </w:rPr>
      </w:pPr>
    </w:p>
    <w:p w:rsidR="00795BAD" w:rsidRPr="007C342F" w:rsidRDefault="00795BAD" w:rsidP="007C342F">
      <w:pPr>
        <w:spacing w:line="480" w:lineRule="auto"/>
        <w:rPr>
          <w:rFonts w:ascii="Times New Roman" w:hAnsi="Times New Roman" w:cs="Times New Roman"/>
          <w:sz w:val="24"/>
          <w:szCs w:val="24"/>
        </w:rPr>
      </w:pPr>
    </w:p>
    <w:p w:rsidR="00515B45" w:rsidRPr="007C342F" w:rsidRDefault="00515B45" w:rsidP="007C342F">
      <w:pPr>
        <w:spacing w:line="480" w:lineRule="auto"/>
        <w:rPr>
          <w:rFonts w:ascii="Times New Roman" w:hAnsi="Times New Roman" w:cs="Times New Roman"/>
          <w:sz w:val="24"/>
          <w:szCs w:val="24"/>
        </w:rPr>
      </w:pP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                </w:t>
      </w:r>
    </w:p>
    <w:p w:rsidR="00515B45" w:rsidRPr="007C342F" w:rsidRDefault="00515B45" w:rsidP="007C342F">
      <w:pPr>
        <w:spacing w:line="480" w:lineRule="auto"/>
        <w:rPr>
          <w:rFonts w:ascii="Times New Roman" w:hAnsi="Times New Roman" w:cs="Times New Roman"/>
          <w:sz w:val="24"/>
          <w:szCs w:val="24"/>
        </w:rPr>
      </w:pPr>
    </w:p>
    <w:p w:rsidR="00515B45" w:rsidRPr="007C342F" w:rsidRDefault="00515B45" w:rsidP="007C342F">
      <w:pPr>
        <w:spacing w:line="480" w:lineRule="auto"/>
        <w:rPr>
          <w:rFonts w:ascii="Times New Roman" w:hAnsi="Times New Roman" w:cs="Times New Roman"/>
          <w:sz w:val="24"/>
          <w:szCs w:val="24"/>
        </w:rPr>
      </w:pP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   </w:t>
      </w:r>
    </w:p>
    <w:p w:rsidR="00515B45" w:rsidRPr="007C342F" w:rsidRDefault="00515B45" w:rsidP="007C342F">
      <w:pPr>
        <w:spacing w:line="480" w:lineRule="auto"/>
        <w:rPr>
          <w:rFonts w:ascii="Times New Roman" w:hAnsi="Times New Roman" w:cs="Times New Roman"/>
          <w:sz w:val="24"/>
          <w:szCs w:val="24"/>
        </w:rPr>
      </w:pPr>
      <w:r w:rsidRPr="007C342F">
        <w:rPr>
          <w:rFonts w:ascii="Times New Roman" w:hAnsi="Times New Roman" w:cs="Times New Roman"/>
          <w:sz w:val="24"/>
          <w:szCs w:val="24"/>
        </w:rPr>
        <w:t xml:space="preserve">  </w:t>
      </w:r>
    </w:p>
    <w:p w:rsidR="00906DAB" w:rsidRPr="007C342F" w:rsidRDefault="00906DAB" w:rsidP="007C342F">
      <w:pPr>
        <w:spacing w:line="480" w:lineRule="auto"/>
        <w:rPr>
          <w:rFonts w:ascii="Times New Roman" w:hAnsi="Times New Roman" w:cs="Times New Roman"/>
          <w:sz w:val="24"/>
          <w:szCs w:val="24"/>
        </w:rPr>
      </w:pPr>
    </w:p>
    <w:sectPr w:rsidR="00906DAB" w:rsidRPr="007C342F" w:rsidSect="007C34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949" w:rsidRDefault="00DF7949" w:rsidP="007C342F">
      <w:pPr>
        <w:spacing w:after="0" w:line="240" w:lineRule="auto"/>
      </w:pPr>
      <w:r>
        <w:separator/>
      </w:r>
    </w:p>
  </w:endnote>
  <w:endnote w:type="continuationSeparator" w:id="0">
    <w:p w:rsidR="00DF7949" w:rsidRDefault="00DF7949" w:rsidP="007C3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949" w:rsidRDefault="00DF7949" w:rsidP="007C342F">
      <w:pPr>
        <w:spacing w:after="0" w:line="240" w:lineRule="auto"/>
      </w:pPr>
      <w:r>
        <w:separator/>
      </w:r>
    </w:p>
  </w:footnote>
  <w:footnote w:type="continuationSeparator" w:id="0">
    <w:p w:rsidR="00DF7949" w:rsidRDefault="00DF7949" w:rsidP="007C34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42F" w:rsidRDefault="007C342F">
    <w:pPr>
      <w:pStyle w:val="Header"/>
    </w:pPr>
    <w:r>
      <w:tab/>
    </w:r>
    <w:r>
      <w:tab/>
    </w:r>
    <w:r>
      <w:fldChar w:fldCharType="begin"/>
    </w:r>
    <w:r>
      <w:instrText xml:space="preserve"> PAGE   \* MERGEFORMAT </w:instrText>
    </w:r>
    <w:r>
      <w:fldChar w:fldCharType="separate"/>
    </w:r>
    <w:r>
      <w:rPr>
        <w:noProof/>
      </w:rPr>
      <w:t>11</w:t>
    </w:r>
    <w:r>
      <w:rPr>
        <w:noProof/>
      </w:rPr>
      <w:fldChar w:fldCharType="end"/>
    </w:r>
  </w:p>
  <w:p w:rsidR="007C342F" w:rsidRDefault="007C34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42F" w:rsidRDefault="007C342F">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100A1"/>
    <w:multiLevelType w:val="hybridMultilevel"/>
    <w:tmpl w:val="D8388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1D79D6"/>
    <w:multiLevelType w:val="hybridMultilevel"/>
    <w:tmpl w:val="B6880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D94D4D"/>
    <w:multiLevelType w:val="hybridMultilevel"/>
    <w:tmpl w:val="F8B4C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F4415F"/>
    <w:multiLevelType w:val="hybridMultilevel"/>
    <w:tmpl w:val="9564C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B4868"/>
    <w:multiLevelType w:val="hybridMultilevel"/>
    <w:tmpl w:val="4AA06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1E642F"/>
    <w:multiLevelType w:val="hybridMultilevel"/>
    <w:tmpl w:val="CB8AE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D72BE6"/>
    <w:multiLevelType w:val="hybridMultilevel"/>
    <w:tmpl w:val="0968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DAB"/>
    <w:rsid w:val="00045E8C"/>
    <w:rsid w:val="000E40FF"/>
    <w:rsid w:val="0011405B"/>
    <w:rsid w:val="00117572"/>
    <w:rsid w:val="00147103"/>
    <w:rsid w:val="00163CED"/>
    <w:rsid w:val="001900A3"/>
    <w:rsid w:val="001C658F"/>
    <w:rsid w:val="001D37DF"/>
    <w:rsid w:val="001F7949"/>
    <w:rsid w:val="00292DCE"/>
    <w:rsid w:val="002F2908"/>
    <w:rsid w:val="0031515D"/>
    <w:rsid w:val="00317DAA"/>
    <w:rsid w:val="00317E9F"/>
    <w:rsid w:val="003B50EE"/>
    <w:rsid w:val="00457037"/>
    <w:rsid w:val="004F345C"/>
    <w:rsid w:val="00515B45"/>
    <w:rsid w:val="005529D3"/>
    <w:rsid w:val="00553BB6"/>
    <w:rsid w:val="00660AAF"/>
    <w:rsid w:val="006905EE"/>
    <w:rsid w:val="007509F9"/>
    <w:rsid w:val="00795BAD"/>
    <w:rsid w:val="007C342F"/>
    <w:rsid w:val="00855A8B"/>
    <w:rsid w:val="00893CF9"/>
    <w:rsid w:val="008D6CC7"/>
    <w:rsid w:val="00906DAB"/>
    <w:rsid w:val="00912704"/>
    <w:rsid w:val="00A1029C"/>
    <w:rsid w:val="00A34D17"/>
    <w:rsid w:val="00AB2879"/>
    <w:rsid w:val="00AF2C55"/>
    <w:rsid w:val="00B75EC0"/>
    <w:rsid w:val="00BD14D7"/>
    <w:rsid w:val="00BF7A66"/>
    <w:rsid w:val="00C21C54"/>
    <w:rsid w:val="00C86A4C"/>
    <w:rsid w:val="00CE0841"/>
    <w:rsid w:val="00DA140D"/>
    <w:rsid w:val="00DF7949"/>
    <w:rsid w:val="00E7325E"/>
    <w:rsid w:val="00E80161"/>
    <w:rsid w:val="00E87B42"/>
    <w:rsid w:val="00F30C5C"/>
    <w:rsid w:val="00F70523"/>
    <w:rsid w:val="00FA2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DAA"/>
    <w:pPr>
      <w:ind w:left="720"/>
      <w:contextualSpacing/>
    </w:pPr>
  </w:style>
  <w:style w:type="paragraph" w:styleId="Header">
    <w:name w:val="header"/>
    <w:basedOn w:val="Normal"/>
    <w:link w:val="HeaderChar"/>
    <w:uiPriority w:val="99"/>
    <w:unhideWhenUsed/>
    <w:rsid w:val="007C3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2F"/>
  </w:style>
  <w:style w:type="paragraph" w:styleId="Footer">
    <w:name w:val="footer"/>
    <w:basedOn w:val="Normal"/>
    <w:link w:val="FooterChar"/>
    <w:uiPriority w:val="99"/>
    <w:unhideWhenUsed/>
    <w:rsid w:val="007C3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42F"/>
  </w:style>
  <w:style w:type="paragraph" w:styleId="BalloonText">
    <w:name w:val="Balloon Text"/>
    <w:basedOn w:val="Normal"/>
    <w:link w:val="BalloonTextChar"/>
    <w:uiPriority w:val="99"/>
    <w:semiHidden/>
    <w:unhideWhenUsed/>
    <w:rsid w:val="007C3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4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DAA"/>
    <w:pPr>
      <w:ind w:left="720"/>
      <w:contextualSpacing/>
    </w:pPr>
  </w:style>
  <w:style w:type="paragraph" w:styleId="Header">
    <w:name w:val="header"/>
    <w:basedOn w:val="Normal"/>
    <w:link w:val="HeaderChar"/>
    <w:uiPriority w:val="99"/>
    <w:unhideWhenUsed/>
    <w:rsid w:val="007C3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2F"/>
  </w:style>
  <w:style w:type="paragraph" w:styleId="Footer">
    <w:name w:val="footer"/>
    <w:basedOn w:val="Normal"/>
    <w:link w:val="FooterChar"/>
    <w:uiPriority w:val="99"/>
    <w:unhideWhenUsed/>
    <w:rsid w:val="007C3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42F"/>
  </w:style>
  <w:style w:type="paragraph" w:styleId="BalloonText">
    <w:name w:val="Balloon Text"/>
    <w:basedOn w:val="Normal"/>
    <w:link w:val="BalloonTextChar"/>
    <w:uiPriority w:val="99"/>
    <w:semiHidden/>
    <w:unhideWhenUsed/>
    <w:rsid w:val="007C3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4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29232">
      <w:bodyDiv w:val="1"/>
      <w:marLeft w:val="0"/>
      <w:marRight w:val="0"/>
      <w:marTop w:val="0"/>
      <w:marBottom w:val="0"/>
      <w:divBdr>
        <w:top w:val="none" w:sz="0" w:space="0" w:color="auto"/>
        <w:left w:val="none" w:sz="0" w:space="0" w:color="auto"/>
        <w:bottom w:val="none" w:sz="0" w:space="0" w:color="auto"/>
        <w:right w:val="none" w:sz="0" w:space="0" w:color="auto"/>
      </w:divBdr>
      <w:divsChild>
        <w:div w:id="1286429566">
          <w:marLeft w:val="0"/>
          <w:marRight w:val="0"/>
          <w:marTop w:val="0"/>
          <w:marBottom w:val="0"/>
          <w:divBdr>
            <w:top w:val="none" w:sz="0" w:space="0" w:color="auto"/>
            <w:left w:val="none" w:sz="0" w:space="0" w:color="auto"/>
            <w:bottom w:val="none" w:sz="0" w:space="0" w:color="auto"/>
            <w:right w:val="none" w:sz="0" w:space="0" w:color="auto"/>
          </w:divBdr>
        </w:div>
      </w:divsChild>
    </w:div>
    <w:div w:id="606502651">
      <w:bodyDiv w:val="1"/>
      <w:marLeft w:val="0"/>
      <w:marRight w:val="0"/>
      <w:marTop w:val="0"/>
      <w:marBottom w:val="0"/>
      <w:divBdr>
        <w:top w:val="none" w:sz="0" w:space="0" w:color="auto"/>
        <w:left w:val="none" w:sz="0" w:space="0" w:color="auto"/>
        <w:bottom w:val="none" w:sz="0" w:space="0" w:color="auto"/>
        <w:right w:val="none" w:sz="0" w:space="0" w:color="auto"/>
      </w:divBdr>
      <w:divsChild>
        <w:div w:id="1698703010">
          <w:marLeft w:val="0"/>
          <w:marRight w:val="0"/>
          <w:marTop w:val="0"/>
          <w:marBottom w:val="0"/>
          <w:divBdr>
            <w:top w:val="none" w:sz="0" w:space="0" w:color="auto"/>
            <w:left w:val="none" w:sz="0" w:space="0" w:color="auto"/>
            <w:bottom w:val="none" w:sz="0" w:space="0" w:color="auto"/>
            <w:right w:val="none" w:sz="0" w:space="0" w:color="auto"/>
          </w:divBdr>
        </w:div>
      </w:divsChild>
    </w:div>
    <w:div w:id="647053367">
      <w:bodyDiv w:val="1"/>
      <w:marLeft w:val="0"/>
      <w:marRight w:val="0"/>
      <w:marTop w:val="0"/>
      <w:marBottom w:val="0"/>
      <w:divBdr>
        <w:top w:val="none" w:sz="0" w:space="0" w:color="auto"/>
        <w:left w:val="none" w:sz="0" w:space="0" w:color="auto"/>
        <w:bottom w:val="none" w:sz="0" w:space="0" w:color="auto"/>
        <w:right w:val="none" w:sz="0" w:space="0" w:color="auto"/>
      </w:divBdr>
      <w:divsChild>
        <w:div w:id="1112017825">
          <w:marLeft w:val="0"/>
          <w:marRight w:val="0"/>
          <w:marTop w:val="0"/>
          <w:marBottom w:val="0"/>
          <w:divBdr>
            <w:top w:val="none" w:sz="0" w:space="0" w:color="auto"/>
            <w:left w:val="none" w:sz="0" w:space="0" w:color="auto"/>
            <w:bottom w:val="none" w:sz="0" w:space="0" w:color="auto"/>
            <w:right w:val="none" w:sz="0" w:space="0" w:color="auto"/>
          </w:divBdr>
        </w:div>
      </w:divsChild>
    </w:div>
    <w:div w:id="738135530">
      <w:bodyDiv w:val="1"/>
      <w:marLeft w:val="0"/>
      <w:marRight w:val="0"/>
      <w:marTop w:val="0"/>
      <w:marBottom w:val="0"/>
      <w:divBdr>
        <w:top w:val="none" w:sz="0" w:space="0" w:color="auto"/>
        <w:left w:val="none" w:sz="0" w:space="0" w:color="auto"/>
        <w:bottom w:val="none" w:sz="0" w:space="0" w:color="auto"/>
        <w:right w:val="none" w:sz="0" w:space="0" w:color="auto"/>
      </w:divBdr>
      <w:divsChild>
        <w:div w:id="1395158525">
          <w:marLeft w:val="0"/>
          <w:marRight w:val="0"/>
          <w:marTop w:val="0"/>
          <w:marBottom w:val="0"/>
          <w:divBdr>
            <w:top w:val="none" w:sz="0" w:space="0" w:color="auto"/>
            <w:left w:val="none" w:sz="0" w:space="0" w:color="auto"/>
            <w:bottom w:val="none" w:sz="0" w:space="0" w:color="auto"/>
            <w:right w:val="none" w:sz="0" w:space="0" w:color="auto"/>
          </w:divBdr>
        </w:div>
      </w:divsChild>
    </w:div>
    <w:div w:id="941688056">
      <w:bodyDiv w:val="1"/>
      <w:marLeft w:val="0"/>
      <w:marRight w:val="0"/>
      <w:marTop w:val="0"/>
      <w:marBottom w:val="0"/>
      <w:divBdr>
        <w:top w:val="none" w:sz="0" w:space="0" w:color="auto"/>
        <w:left w:val="none" w:sz="0" w:space="0" w:color="auto"/>
        <w:bottom w:val="none" w:sz="0" w:space="0" w:color="auto"/>
        <w:right w:val="none" w:sz="0" w:space="0" w:color="auto"/>
      </w:divBdr>
      <w:divsChild>
        <w:div w:id="1296377987">
          <w:marLeft w:val="0"/>
          <w:marRight w:val="0"/>
          <w:marTop w:val="0"/>
          <w:marBottom w:val="0"/>
          <w:divBdr>
            <w:top w:val="none" w:sz="0" w:space="0" w:color="auto"/>
            <w:left w:val="none" w:sz="0" w:space="0" w:color="auto"/>
            <w:bottom w:val="none" w:sz="0" w:space="0" w:color="auto"/>
            <w:right w:val="none" w:sz="0" w:space="0" w:color="auto"/>
          </w:divBdr>
        </w:div>
      </w:divsChild>
    </w:div>
    <w:div w:id="973027847">
      <w:bodyDiv w:val="1"/>
      <w:marLeft w:val="0"/>
      <w:marRight w:val="0"/>
      <w:marTop w:val="0"/>
      <w:marBottom w:val="0"/>
      <w:divBdr>
        <w:top w:val="none" w:sz="0" w:space="0" w:color="auto"/>
        <w:left w:val="none" w:sz="0" w:space="0" w:color="auto"/>
        <w:bottom w:val="none" w:sz="0" w:space="0" w:color="auto"/>
        <w:right w:val="none" w:sz="0" w:space="0" w:color="auto"/>
      </w:divBdr>
      <w:divsChild>
        <w:div w:id="1702239622">
          <w:marLeft w:val="0"/>
          <w:marRight w:val="0"/>
          <w:marTop w:val="0"/>
          <w:marBottom w:val="0"/>
          <w:divBdr>
            <w:top w:val="none" w:sz="0" w:space="0" w:color="auto"/>
            <w:left w:val="none" w:sz="0" w:space="0" w:color="auto"/>
            <w:bottom w:val="none" w:sz="0" w:space="0" w:color="auto"/>
            <w:right w:val="none" w:sz="0" w:space="0" w:color="auto"/>
          </w:divBdr>
        </w:div>
      </w:divsChild>
    </w:div>
    <w:div w:id="1485703657">
      <w:bodyDiv w:val="1"/>
      <w:marLeft w:val="0"/>
      <w:marRight w:val="0"/>
      <w:marTop w:val="0"/>
      <w:marBottom w:val="0"/>
      <w:divBdr>
        <w:top w:val="none" w:sz="0" w:space="0" w:color="auto"/>
        <w:left w:val="none" w:sz="0" w:space="0" w:color="auto"/>
        <w:bottom w:val="none" w:sz="0" w:space="0" w:color="auto"/>
        <w:right w:val="none" w:sz="0" w:space="0" w:color="auto"/>
      </w:divBdr>
      <w:divsChild>
        <w:div w:id="1933776176">
          <w:marLeft w:val="0"/>
          <w:marRight w:val="0"/>
          <w:marTop w:val="0"/>
          <w:marBottom w:val="0"/>
          <w:divBdr>
            <w:top w:val="none" w:sz="0" w:space="0" w:color="auto"/>
            <w:left w:val="none" w:sz="0" w:space="0" w:color="auto"/>
            <w:bottom w:val="none" w:sz="0" w:space="0" w:color="auto"/>
            <w:right w:val="none" w:sz="0" w:space="0" w:color="auto"/>
          </w:divBdr>
        </w:div>
      </w:divsChild>
    </w:div>
    <w:div w:id="1605991311">
      <w:bodyDiv w:val="1"/>
      <w:marLeft w:val="0"/>
      <w:marRight w:val="0"/>
      <w:marTop w:val="0"/>
      <w:marBottom w:val="0"/>
      <w:divBdr>
        <w:top w:val="none" w:sz="0" w:space="0" w:color="auto"/>
        <w:left w:val="none" w:sz="0" w:space="0" w:color="auto"/>
        <w:bottom w:val="none" w:sz="0" w:space="0" w:color="auto"/>
        <w:right w:val="none" w:sz="0" w:space="0" w:color="auto"/>
      </w:divBdr>
      <w:divsChild>
        <w:div w:id="137235846">
          <w:marLeft w:val="0"/>
          <w:marRight w:val="0"/>
          <w:marTop w:val="0"/>
          <w:marBottom w:val="0"/>
          <w:divBdr>
            <w:top w:val="none" w:sz="0" w:space="0" w:color="auto"/>
            <w:left w:val="none" w:sz="0" w:space="0" w:color="auto"/>
            <w:bottom w:val="none" w:sz="0" w:space="0" w:color="auto"/>
            <w:right w:val="none" w:sz="0" w:space="0" w:color="auto"/>
          </w:divBdr>
        </w:div>
      </w:divsChild>
    </w:div>
    <w:div w:id="2104253750">
      <w:bodyDiv w:val="1"/>
      <w:marLeft w:val="0"/>
      <w:marRight w:val="0"/>
      <w:marTop w:val="0"/>
      <w:marBottom w:val="0"/>
      <w:divBdr>
        <w:top w:val="none" w:sz="0" w:space="0" w:color="auto"/>
        <w:left w:val="none" w:sz="0" w:space="0" w:color="auto"/>
        <w:bottom w:val="none" w:sz="0" w:space="0" w:color="auto"/>
        <w:right w:val="none" w:sz="0" w:space="0" w:color="auto"/>
      </w:divBdr>
      <w:divsChild>
        <w:div w:id="132330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2205</Words>
  <Characters>12570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2020-12-11T21:18:00Z</dcterms:created>
  <dcterms:modified xsi:type="dcterms:W3CDTF">2020-12-11T21:18:00Z</dcterms:modified>
</cp:coreProperties>
</file>